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0369" w:rsidRPr="00B44F38" w:rsidRDefault="00800369" w:rsidP="00800369">
      <w:pPr>
        <w:pStyle w:val="NormalWeb"/>
        <w:shd w:val="clear" w:color="auto" w:fill="FFFFFF"/>
        <w:spacing w:before="0" w:beforeAutospacing="0" w:after="120" w:afterAutospacing="0" w:line="360" w:lineRule="auto"/>
        <w:jc w:val="center"/>
        <w:rPr>
          <w:szCs w:val="26"/>
          <w:lang w:val="en-US"/>
        </w:rPr>
      </w:pPr>
      <w:r>
        <w:rPr>
          <w:noProof/>
          <w:szCs w:val="26"/>
        </w:rPr>
        <w:drawing>
          <wp:inline distT="0" distB="0" distL="0" distR="0" wp14:anchorId="1469EDCF" wp14:editId="3ED4D13A">
            <wp:extent cx="3240000" cy="5675954"/>
            <wp:effectExtent l="0" t="0" r="0" b="127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56759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0369" w:rsidRPr="00B44F38" w:rsidRDefault="00800369" w:rsidP="00800369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i/>
          <w:lang w:val="en-US"/>
        </w:rPr>
      </w:pPr>
      <w:r w:rsidRPr="00B44F38">
        <w:rPr>
          <w:b/>
          <w:i/>
          <w:szCs w:val="26"/>
          <w:lang w:val="en-US"/>
        </w:rPr>
        <w:t>Figure 1</w:t>
      </w:r>
      <w:r w:rsidRPr="00B44F38">
        <w:rPr>
          <w:i/>
          <w:szCs w:val="26"/>
          <w:lang w:val="en-US"/>
        </w:rPr>
        <w:t>.</w:t>
      </w:r>
      <w:r w:rsidRPr="00B44F38">
        <w:rPr>
          <w:szCs w:val="26"/>
          <w:lang w:val="en-US"/>
        </w:rPr>
        <w:t xml:space="preserve"> </w:t>
      </w:r>
      <w:r w:rsidRPr="00B44F38">
        <w:rPr>
          <w:i/>
          <w:lang w:val="en-US"/>
        </w:rPr>
        <w:t>Potentiodynamic polarization curves of AA2024 alloy after (a) 1 h</w:t>
      </w:r>
      <w:r>
        <w:rPr>
          <w:i/>
          <w:lang w:val="en-US"/>
        </w:rPr>
        <w:t>our</w:t>
      </w:r>
      <w:r w:rsidRPr="00B44F38">
        <w:rPr>
          <w:i/>
          <w:lang w:val="en-US"/>
        </w:rPr>
        <w:t xml:space="preserve"> and (b) 24</w:t>
      </w:r>
      <w:r>
        <w:rPr>
          <w:i/>
          <w:lang w:val="en-US"/>
        </w:rPr>
        <w:t xml:space="preserve"> hours</w:t>
      </w:r>
      <w:r w:rsidRPr="00B44F38">
        <w:rPr>
          <w:i/>
          <w:lang w:val="en-US"/>
        </w:rPr>
        <w:t xml:space="preserve"> of immersion in naturally aerated 50 mM NaCl solutions with different TA concentrations.</w:t>
      </w:r>
    </w:p>
    <w:p w:rsidR="00EE4254" w:rsidRDefault="00EE4254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Pr="00F61EDE" w:rsidRDefault="00800369" w:rsidP="00800369">
      <w:pPr>
        <w:pStyle w:val="NormalWeb"/>
        <w:shd w:val="clear" w:color="auto" w:fill="FFFFFF"/>
        <w:spacing w:before="0" w:beforeAutospacing="0" w:after="240" w:afterAutospacing="0" w:line="360" w:lineRule="auto"/>
        <w:jc w:val="both"/>
        <w:rPr>
          <w:lang w:val="en-US"/>
        </w:rPr>
      </w:pPr>
      <w:r>
        <w:rPr>
          <w:b/>
          <w:i/>
          <w:noProof/>
        </w:rPr>
        <w:lastRenderedPageBreak/>
        <w:drawing>
          <wp:inline distT="0" distB="0" distL="0" distR="0" wp14:anchorId="38BCB37C" wp14:editId="3A3E6900">
            <wp:extent cx="5400000" cy="5942101"/>
            <wp:effectExtent l="0" t="0" r="0" b="190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59421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44F38">
        <w:rPr>
          <w:b/>
          <w:i/>
          <w:lang w:val="en-US"/>
        </w:rPr>
        <w:t>Figure 2</w:t>
      </w:r>
      <w:r w:rsidRPr="00B44F38">
        <w:rPr>
          <w:i/>
          <w:lang w:val="en-US"/>
        </w:rPr>
        <w:t>. (</w:t>
      </w:r>
      <w:proofErr w:type="spellStart"/>
      <w:proofErr w:type="gramStart"/>
      <w:r w:rsidRPr="00B44F38">
        <w:rPr>
          <w:i/>
          <w:lang w:val="en-US"/>
        </w:rPr>
        <w:t>a</w:t>
      </w:r>
      <w:r>
        <w:rPr>
          <w:i/>
          <w:lang w:val="en-US"/>
        </w:rPr>
        <w:t>,</w:t>
      </w:r>
      <w:proofErr w:type="gramEnd"/>
      <w:r>
        <w:rPr>
          <w:i/>
          <w:lang w:val="en-US"/>
        </w:rPr>
        <w:t>b</w:t>
      </w:r>
      <w:proofErr w:type="spellEnd"/>
      <w:r>
        <w:rPr>
          <w:i/>
          <w:lang w:val="en-US"/>
        </w:rPr>
        <w:t>)</w:t>
      </w:r>
      <w:r w:rsidRPr="00B44F38">
        <w:rPr>
          <w:i/>
          <w:lang w:val="en-US"/>
        </w:rPr>
        <w:t xml:space="preserve"> Topography and (</w:t>
      </w:r>
      <w:proofErr w:type="spellStart"/>
      <w:r>
        <w:rPr>
          <w:i/>
          <w:lang w:val="en-US"/>
        </w:rPr>
        <w:t>c</w:t>
      </w:r>
      <w:proofErr w:type="gramStart"/>
      <w:r>
        <w:rPr>
          <w:i/>
          <w:lang w:val="en-US"/>
        </w:rPr>
        <w:t>,d</w:t>
      </w:r>
      <w:proofErr w:type="spellEnd"/>
      <w:proofErr w:type="gramEnd"/>
      <w:r w:rsidRPr="00B44F38">
        <w:rPr>
          <w:i/>
          <w:lang w:val="en-US"/>
        </w:rPr>
        <w:t>) Volta potential map</w:t>
      </w:r>
      <w:r>
        <w:rPr>
          <w:i/>
          <w:lang w:val="en-US"/>
        </w:rPr>
        <w:t>s</w:t>
      </w:r>
      <w:r w:rsidRPr="00B44F38">
        <w:rPr>
          <w:i/>
          <w:lang w:val="en-US"/>
        </w:rPr>
        <w:t xml:space="preserve"> for AA2024</w:t>
      </w:r>
      <w:r>
        <w:rPr>
          <w:i/>
          <w:lang w:val="en-US"/>
        </w:rPr>
        <w:t xml:space="preserve"> before and</w:t>
      </w:r>
      <w:r w:rsidRPr="00B44F38">
        <w:rPr>
          <w:i/>
          <w:lang w:val="en-US"/>
        </w:rPr>
        <w:t xml:space="preserve"> after immersion for 1 h</w:t>
      </w:r>
      <w:r>
        <w:rPr>
          <w:i/>
          <w:lang w:val="en-US"/>
        </w:rPr>
        <w:t>our</w:t>
      </w:r>
      <w:r w:rsidRPr="00B44F38">
        <w:rPr>
          <w:i/>
          <w:lang w:val="en-US"/>
        </w:rPr>
        <w:t xml:space="preserve"> in blank solution (50 mM NaCl). </w:t>
      </w:r>
      <w:r>
        <w:rPr>
          <w:i/>
          <w:lang w:val="en-US"/>
        </w:rPr>
        <w:t>(</w:t>
      </w:r>
      <w:proofErr w:type="spellStart"/>
      <w:proofErr w:type="gramStart"/>
      <w:r>
        <w:rPr>
          <w:i/>
          <w:lang w:val="en-US"/>
        </w:rPr>
        <w:t>e,</w:t>
      </w:r>
      <w:proofErr w:type="gramEnd"/>
      <w:r>
        <w:rPr>
          <w:i/>
          <w:lang w:val="en-US"/>
        </w:rPr>
        <w:t>f</w:t>
      </w:r>
      <w:proofErr w:type="spellEnd"/>
      <w:r w:rsidRPr="00B44F38">
        <w:rPr>
          <w:i/>
          <w:lang w:val="en-US"/>
        </w:rPr>
        <w:t xml:space="preserve">) </w:t>
      </w:r>
      <w:r>
        <w:rPr>
          <w:i/>
          <w:lang w:val="en-US"/>
        </w:rPr>
        <w:t>Topography and (</w:t>
      </w:r>
      <w:proofErr w:type="spellStart"/>
      <w:r>
        <w:rPr>
          <w:i/>
          <w:lang w:val="en-US"/>
        </w:rPr>
        <w:t>g</w:t>
      </w:r>
      <w:proofErr w:type="gramStart"/>
      <w:r>
        <w:rPr>
          <w:i/>
          <w:lang w:val="en-US"/>
        </w:rPr>
        <w:t>,h</w:t>
      </w:r>
      <w:proofErr w:type="spellEnd"/>
      <w:proofErr w:type="gramEnd"/>
      <w:r w:rsidRPr="00B44F38">
        <w:rPr>
          <w:i/>
          <w:lang w:val="en-US"/>
        </w:rPr>
        <w:t>) Volta potential map</w:t>
      </w:r>
      <w:r>
        <w:rPr>
          <w:i/>
          <w:lang w:val="en-US"/>
        </w:rPr>
        <w:t>s</w:t>
      </w:r>
      <w:r w:rsidRPr="00B44F38">
        <w:rPr>
          <w:i/>
          <w:lang w:val="en-US"/>
        </w:rPr>
        <w:t xml:space="preserve"> for AA2024 </w:t>
      </w:r>
      <w:r>
        <w:rPr>
          <w:i/>
          <w:lang w:val="en-US"/>
        </w:rPr>
        <w:t xml:space="preserve">before and </w:t>
      </w:r>
      <w:r w:rsidRPr="00B44F38">
        <w:rPr>
          <w:i/>
          <w:lang w:val="en-US"/>
        </w:rPr>
        <w:t xml:space="preserve">after immersion for </w:t>
      </w:r>
      <w:r>
        <w:rPr>
          <w:i/>
          <w:lang w:val="en-US"/>
        </w:rPr>
        <w:t>1</w:t>
      </w:r>
      <w:r w:rsidRPr="00B44F38">
        <w:rPr>
          <w:i/>
          <w:lang w:val="en-US"/>
        </w:rPr>
        <w:t xml:space="preserve"> h</w:t>
      </w:r>
      <w:r>
        <w:rPr>
          <w:i/>
          <w:lang w:val="en-US"/>
        </w:rPr>
        <w:t>our</w:t>
      </w:r>
      <w:r w:rsidRPr="00B44F38">
        <w:rPr>
          <w:i/>
          <w:lang w:val="en-US"/>
        </w:rPr>
        <w:t xml:space="preserve"> in 1 mM TA solution.</w:t>
      </w: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 w:rsidP="0080036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es-ES"/>
        </w:rPr>
        <w:lastRenderedPageBreak/>
        <w:drawing>
          <wp:inline distT="0" distB="0" distL="0" distR="0" wp14:anchorId="4D1C434C" wp14:editId="504E908D">
            <wp:extent cx="5400000" cy="3592129"/>
            <wp:effectExtent l="0" t="0" r="0" b="889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5921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0369" w:rsidRPr="005B36B0" w:rsidRDefault="00800369" w:rsidP="00800369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val="en-US" w:eastAsia="es-ES"/>
        </w:rPr>
      </w:pPr>
      <w:r w:rsidRPr="00B44F38">
        <w:rPr>
          <w:rFonts w:ascii="Times New Roman" w:hAnsi="Times New Roman" w:cs="Times New Roman"/>
          <w:b/>
          <w:i/>
          <w:sz w:val="24"/>
          <w:szCs w:val="24"/>
          <w:lang w:val="en-US"/>
        </w:rPr>
        <w:t>Figure 3</w:t>
      </w:r>
      <w:r w:rsidRPr="00B44F38">
        <w:rPr>
          <w:rFonts w:ascii="Times New Roman" w:hAnsi="Times New Roman" w:cs="Times New Roman"/>
          <w:i/>
          <w:sz w:val="24"/>
          <w:szCs w:val="24"/>
          <w:lang w:val="en-US"/>
        </w:rPr>
        <w:t xml:space="preserve">. </w:t>
      </w:r>
      <w:r w:rsidRPr="00B44F38">
        <w:rPr>
          <w:rFonts w:ascii="Times New Roman" w:eastAsia="Times New Roman" w:hAnsi="Times New Roman" w:cs="Times New Roman"/>
          <w:i/>
          <w:sz w:val="24"/>
          <w:szCs w:val="24"/>
          <w:lang w:val="en-US" w:eastAsia="es-ES"/>
        </w:rPr>
        <w:t>Surface images and SVET maps of AA2024-T3 immersed in 50 mM NaCl (a-c) and 1 mM TA solutions (d-f). The maps were acquired after 1 h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es-ES"/>
        </w:rPr>
        <w:t>our</w:t>
      </w:r>
      <w:r w:rsidRPr="00B44F38">
        <w:rPr>
          <w:rFonts w:ascii="Times New Roman" w:eastAsia="Times New Roman" w:hAnsi="Times New Roman" w:cs="Times New Roman"/>
          <w:i/>
          <w:sz w:val="24"/>
          <w:szCs w:val="24"/>
          <w:lang w:val="en-US" w:eastAsia="es-ES"/>
        </w:rPr>
        <w:t xml:space="preserve"> (a, d), 6 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es-ES"/>
        </w:rPr>
        <w:t>hours</w:t>
      </w:r>
      <w:r w:rsidRPr="00B44F38">
        <w:rPr>
          <w:rFonts w:ascii="Times New Roman" w:eastAsia="Times New Roman" w:hAnsi="Times New Roman" w:cs="Times New Roman"/>
          <w:i/>
          <w:sz w:val="24"/>
          <w:szCs w:val="24"/>
          <w:lang w:val="en-US" w:eastAsia="es-ES"/>
        </w:rPr>
        <w:t xml:space="preserve"> (b, e), and 24 </w:t>
      </w:r>
      <w:r>
        <w:rPr>
          <w:rFonts w:ascii="Times New Roman" w:eastAsia="Times New Roman" w:hAnsi="Times New Roman" w:cs="Times New Roman"/>
          <w:i/>
          <w:sz w:val="24"/>
          <w:szCs w:val="24"/>
          <w:lang w:val="en-US" w:eastAsia="es-ES"/>
        </w:rPr>
        <w:t>hours</w:t>
      </w:r>
      <w:r w:rsidRPr="00B44F38">
        <w:rPr>
          <w:rFonts w:ascii="Times New Roman" w:eastAsia="Times New Roman" w:hAnsi="Times New Roman" w:cs="Times New Roman"/>
          <w:i/>
          <w:sz w:val="24"/>
          <w:szCs w:val="24"/>
          <w:lang w:val="en-US" w:eastAsia="es-ES"/>
        </w:rPr>
        <w:t xml:space="preserve"> (c, f) of immersion. The current density units depicted in the maps are µA cm</w:t>
      </w:r>
      <w:r w:rsidRPr="00B44F38">
        <w:rPr>
          <w:rFonts w:ascii="Times New Roman" w:eastAsia="Times New Roman" w:hAnsi="Times New Roman" w:cs="Times New Roman"/>
          <w:i/>
          <w:sz w:val="24"/>
          <w:szCs w:val="24"/>
          <w:vertAlign w:val="superscript"/>
          <w:lang w:val="en-US" w:eastAsia="es-ES"/>
        </w:rPr>
        <w:t>-2</w:t>
      </w:r>
      <w:r w:rsidRPr="00B44F38">
        <w:rPr>
          <w:rFonts w:ascii="Times New Roman" w:eastAsia="Times New Roman" w:hAnsi="Times New Roman" w:cs="Times New Roman"/>
          <w:i/>
          <w:sz w:val="24"/>
          <w:szCs w:val="24"/>
          <w:lang w:val="en-US" w:eastAsia="es-ES"/>
        </w:rPr>
        <w:t>.</w:t>
      </w: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Pr="00982E48" w:rsidRDefault="00800369" w:rsidP="00800369">
      <w:pPr>
        <w:pStyle w:val="NormalWeb"/>
        <w:shd w:val="clear" w:color="auto" w:fill="FFFFFF"/>
        <w:spacing w:after="120" w:line="360" w:lineRule="auto"/>
        <w:jc w:val="both"/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 wp14:anchorId="60A76C98" wp14:editId="11FDF530">
            <wp:extent cx="5400000" cy="2369232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3692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631CE">
        <w:rPr>
          <w:b/>
          <w:bCs/>
          <w:i/>
          <w:iCs/>
          <w:lang w:val="en-GB"/>
        </w:rPr>
        <w:t xml:space="preserve">Figure </w:t>
      </w:r>
      <w:r>
        <w:rPr>
          <w:b/>
          <w:bCs/>
          <w:i/>
          <w:iCs/>
          <w:lang w:val="en-GB"/>
        </w:rPr>
        <w:t>4</w:t>
      </w:r>
      <w:r w:rsidRPr="000631CE">
        <w:rPr>
          <w:b/>
          <w:bCs/>
          <w:i/>
          <w:iCs/>
          <w:lang w:val="en-GB"/>
        </w:rPr>
        <w:t>.</w:t>
      </w:r>
      <w:r w:rsidRPr="000631CE">
        <w:rPr>
          <w:i/>
          <w:iCs/>
          <w:lang w:val="en-GB"/>
        </w:rPr>
        <w:t xml:space="preserve"> </w:t>
      </w:r>
      <w:r>
        <w:rPr>
          <w:i/>
          <w:iCs/>
          <w:lang w:val="en-GB"/>
        </w:rPr>
        <w:t xml:space="preserve">(a) </w:t>
      </w:r>
      <w:r w:rsidRPr="000631CE">
        <w:rPr>
          <w:i/>
          <w:iCs/>
          <w:lang w:val="en-GB"/>
        </w:rPr>
        <w:t>UV-Vis absorption spectra of Tannic acid, Cu</w:t>
      </w:r>
      <w:r>
        <w:rPr>
          <w:i/>
          <w:iCs/>
          <w:lang w:val="en-GB"/>
        </w:rPr>
        <w:t>,</w:t>
      </w:r>
      <w:r w:rsidRPr="000631CE">
        <w:rPr>
          <w:i/>
          <w:iCs/>
          <w:lang w:val="en-GB"/>
        </w:rPr>
        <w:t xml:space="preserve"> and Al chloride solutions and corresponding mixing solutions</w:t>
      </w:r>
      <w:r>
        <w:rPr>
          <w:i/>
          <w:iCs/>
          <w:lang w:val="en-GB"/>
        </w:rPr>
        <w:t>.</w:t>
      </w:r>
      <w:r w:rsidRPr="000631CE">
        <w:rPr>
          <w:i/>
          <w:iCs/>
          <w:lang w:val="en-GB"/>
        </w:rPr>
        <w:t xml:space="preserve"> Equimolar mixtures of tannic acid with CuCl</w:t>
      </w:r>
      <w:r w:rsidRPr="000631CE">
        <w:rPr>
          <w:i/>
          <w:iCs/>
          <w:vertAlign w:val="subscript"/>
          <w:lang w:val="en-GB"/>
        </w:rPr>
        <w:t>2</w:t>
      </w:r>
      <w:r w:rsidRPr="000631CE">
        <w:rPr>
          <w:i/>
          <w:iCs/>
          <w:lang w:val="en-GB"/>
        </w:rPr>
        <w:t xml:space="preserve"> solution: (</w:t>
      </w:r>
      <w:r>
        <w:rPr>
          <w:i/>
          <w:iCs/>
          <w:lang w:val="en-GB"/>
        </w:rPr>
        <w:t>b</w:t>
      </w:r>
      <w:r w:rsidRPr="000631CE">
        <w:rPr>
          <w:i/>
          <w:iCs/>
          <w:lang w:val="en-GB"/>
        </w:rPr>
        <w:t>) 10 µ</w:t>
      </w:r>
      <w:r w:rsidRPr="000631CE">
        <w:rPr>
          <w:i/>
          <w:iCs/>
          <w:lang w:val="en-US"/>
        </w:rPr>
        <w:t>M</w:t>
      </w:r>
      <w:r w:rsidRPr="000631CE">
        <w:rPr>
          <w:i/>
          <w:iCs/>
          <w:lang w:val="en-GB"/>
        </w:rPr>
        <w:t>, (</w:t>
      </w:r>
      <w:r>
        <w:rPr>
          <w:i/>
          <w:iCs/>
          <w:lang w:val="en-GB"/>
        </w:rPr>
        <w:t>c</w:t>
      </w:r>
      <w:r w:rsidRPr="000631CE">
        <w:rPr>
          <w:i/>
          <w:iCs/>
          <w:lang w:val="en-GB"/>
        </w:rPr>
        <w:t>) 1 mM, and (</w:t>
      </w:r>
      <w:r>
        <w:rPr>
          <w:i/>
          <w:iCs/>
          <w:lang w:val="en-GB"/>
        </w:rPr>
        <w:t>d</w:t>
      </w:r>
      <w:r w:rsidRPr="000631CE">
        <w:rPr>
          <w:i/>
          <w:iCs/>
          <w:lang w:val="en-GB"/>
        </w:rPr>
        <w:t>) 10 mM; and equimolar mixtures of tannic acid with AlCl</w:t>
      </w:r>
      <w:r w:rsidRPr="000631CE">
        <w:rPr>
          <w:i/>
          <w:iCs/>
          <w:vertAlign w:val="subscript"/>
          <w:lang w:val="en-GB"/>
        </w:rPr>
        <w:t>3</w:t>
      </w:r>
      <w:r w:rsidRPr="000631CE">
        <w:rPr>
          <w:i/>
          <w:iCs/>
          <w:lang w:val="en-GB"/>
        </w:rPr>
        <w:t xml:space="preserve"> solutions: (</w:t>
      </w:r>
      <w:r>
        <w:rPr>
          <w:i/>
          <w:iCs/>
          <w:lang w:val="en-GB"/>
        </w:rPr>
        <w:t>e</w:t>
      </w:r>
      <w:r w:rsidRPr="000631CE">
        <w:rPr>
          <w:i/>
          <w:iCs/>
          <w:lang w:val="en-GB"/>
        </w:rPr>
        <w:t>) 10 µM, (</w:t>
      </w:r>
      <w:r>
        <w:rPr>
          <w:i/>
          <w:iCs/>
          <w:lang w:val="en-GB"/>
        </w:rPr>
        <w:t>f</w:t>
      </w:r>
      <w:r w:rsidRPr="000631CE">
        <w:rPr>
          <w:i/>
          <w:iCs/>
          <w:lang w:val="en-GB"/>
        </w:rPr>
        <w:t>) 1 mM, and (</w:t>
      </w:r>
      <w:r>
        <w:rPr>
          <w:i/>
          <w:iCs/>
          <w:lang w:val="en-GB"/>
        </w:rPr>
        <w:t>g</w:t>
      </w:r>
      <w:r w:rsidRPr="000631CE">
        <w:rPr>
          <w:i/>
          <w:iCs/>
          <w:lang w:val="en-GB"/>
        </w:rPr>
        <w:t xml:space="preserve">) 10 </w:t>
      </w:r>
      <w:proofErr w:type="spellStart"/>
      <w:r w:rsidRPr="000631CE">
        <w:rPr>
          <w:i/>
          <w:iCs/>
          <w:lang w:val="en-GB"/>
        </w:rPr>
        <w:t>mM.</w:t>
      </w:r>
      <w:proofErr w:type="spellEnd"/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Pr="00B44F38" w:rsidRDefault="00800369" w:rsidP="00800369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A9EDE5B" wp14:editId="6BC53E65">
            <wp:extent cx="5040000" cy="8080386"/>
            <wp:effectExtent l="0" t="0" r="825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80803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0369" w:rsidRPr="006E2B9D" w:rsidRDefault="00800369" w:rsidP="00800369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rStyle w:val="Refdecomentario"/>
          <w:i/>
          <w:lang w:val="en-US"/>
        </w:rPr>
      </w:pPr>
      <w:r>
        <w:rPr>
          <w:b/>
          <w:i/>
          <w:lang w:val="en-US"/>
        </w:rPr>
        <w:t>Figure 5</w:t>
      </w:r>
      <w:r w:rsidRPr="00B44F38">
        <w:rPr>
          <w:i/>
          <w:lang w:val="en-US"/>
        </w:rPr>
        <w:t xml:space="preserve">. Bode plots of AA2024 alloy after different immersion times in naturally aerated </w:t>
      </w:r>
      <w:r>
        <w:rPr>
          <w:i/>
          <w:lang w:val="en-US"/>
        </w:rPr>
        <w:t xml:space="preserve">(a) </w:t>
      </w:r>
      <w:r w:rsidRPr="00B44F38">
        <w:rPr>
          <w:i/>
          <w:lang w:val="en-US"/>
        </w:rPr>
        <w:t>50 mM NaCl solutions with different TA concentrations</w:t>
      </w:r>
      <w:r>
        <w:rPr>
          <w:i/>
          <w:lang w:val="en-US"/>
        </w:rPr>
        <w:t>: (b) 0.1 mM TA, (c) 1 mM TA, and (d) 10 mM TA</w:t>
      </w:r>
      <w:r w:rsidRPr="00B44F38">
        <w:rPr>
          <w:i/>
          <w:lang w:val="en-US"/>
        </w:rPr>
        <w:t>.</w:t>
      </w:r>
    </w:p>
    <w:p w:rsidR="00800369" w:rsidRDefault="00800369" w:rsidP="00800369">
      <w:pPr>
        <w:pStyle w:val="NormalWeb"/>
        <w:shd w:val="clear" w:color="auto" w:fill="FFFFFF"/>
        <w:spacing w:after="120" w:line="360" w:lineRule="auto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01871E7" wp14:editId="14D65C99">
            <wp:extent cx="4680000" cy="1953285"/>
            <wp:effectExtent l="0" t="0" r="6350" b="0"/>
            <wp:docPr id="679360691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1953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0369" w:rsidRPr="0084407E" w:rsidRDefault="00800369" w:rsidP="00800369">
      <w:pPr>
        <w:pStyle w:val="NormalWeb"/>
        <w:shd w:val="clear" w:color="auto" w:fill="FFFFFF"/>
        <w:spacing w:before="0" w:beforeAutospacing="0" w:after="120" w:afterAutospacing="0" w:line="360" w:lineRule="auto"/>
        <w:jc w:val="both"/>
        <w:rPr>
          <w:lang w:val="en-US"/>
        </w:rPr>
      </w:pPr>
      <w:r>
        <w:rPr>
          <w:b/>
          <w:i/>
          <w:lang w:val="en-US"/>
        </w:rPr>
        <w:t>Figure 6</w:t>
      </w:r>
      <w:r w:rsidRPr="00B44F38">
        <w:rPr>
          <w:i/>
          <w:lang w:val="en-US"/>
        </w:rPr>
        <w:t>. Equivalent circuits to fit the experimental EIS data of the AA2024 in naturally aerated (a) 50 mM NaCl solution and (b) TA-containing solutions.</w:t>
      </w: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Pr="00E17BD3" w:rsidRDefault="00800369" w:rsidP="00800369">
      <w:pPr>
        <w:pStyle w:val="NormalWeb"/>
        <w:shd w:val="clear" w:color="auto" w:fill="FFFFFF"/>
        <w:spacing w:before="0" w:beforeAutospacing="0" w:after="120" w:afterAutospacing="0" w:line="360" w:lineRule="auto"/>
        <w:jc w:val="center"/>
        <w:rPr>
          <w:b/>
          <w:i/>
          <w:highlight w:val="yellow"/>
          <w:lang w:val="en-US"/>
        </w:rPr>
      </w:pPr>
      <w:r w:rsidRPr="00725FAC">
        <w:rPr>
          <w:b/>
          <w:i/>
          <w:noProof/>
        </w:rPr>
        <w:lastRenderedPageBreak/>
        <w:drawing>
          <wp:inline distT="0" distB="0" distL="0" distR="0" wp14:anchorId="43CC7CB8" wp14:editId="16D985A6">
            <wp:extent cx="5400000" cy="4543272"/>
            <wp:effectExtent l="0" t="0" r="0" b="0"/>
            <wp:docPr id="34972782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5432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0369" w:rsidRPr="00B44F38" w:rsidRDefault="00800369" w:rsidP="00800369">
      <w:pPr>
        <w:pStyle w:val="NormalWeb"/>
        <w:shd w:val="clear" w:color="auto" w:fill="FFFFFF"/>
        <w:spacing w:before="0" w:beforeAutospacing="0" w:after="240" w:afterAutospacing="0" w:line="360" w:lineRule="auto"/>
        <w:jc w:val="both"/>
        <w:rPr>
          <w:i/>
          <w:lang w:val="en-US"/>
        </w:rPr>
      </w:pPr>
      <w:r w:rsidRPr="004B281F">
        <w:rPr>
          <w:b/>
          <w:i/>
          <w:lang w:val="en-US"/>
        </w:rPr>
        <w:t>Figure 7</w:t>
      </w:r>
      <w:r w:rsidRPr="004B281F">
        <w:rPr>
          <w:i/>
          <w:lang w:val="en-US"/>
        </w:rPr>
        <w:t xml:space="preserve">. Evolution of (a) oxide capacitance, (b) </w:t>
      </w:r>
      <w:r w:rsidRPr="008947CE">
        <w:rPr>
          <w:i/>
          <w:lang w:val="en-US"/>
        </w:rPr>
        <w:t>charge transfer resistance,</w:t>
      </w:r>
      <w:r w:rsidRPr="004B281F">
        <w:rPr>
          <w:lang w:val="en-US"/>
        </w:rPr>
        <w:t xml:space="preserve"> </w:t>
      </w:r>
      <w:r w:rsidRPr="004B281F">
        <w:rPr>
          <w:i/>
          <w:lang w:val="en-US"/>
        </w:rPr>
        <w:t>and (c) double-layer capacitance of the AA2024 alloy during the studied immersion times in the study solutions.</w:t>
      </w:r>
      <w:r w:rsidRPr="00B44F38">
        <w:rPr>
          <w:i/>
          <w:lang w:val="en-US"/>
        </w:rPr>
        <w:t xml:space="preserve"> </w:t>
      </w: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 w:rsidP="00800369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588CEED" wp14:editId="2C7724A7">
            <wp:extent cx="3240000" cy="3652202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69"/>
                    <a:stretch/>
                  </pic:blipFill>
                  <pic:spPr bwMode="auto">
                    <a:xfrm>
                      <a:off x="0" y="0"/>
                      <a:ext cx="3240000" cy="3652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0369" w:rsidRPr="00065A37" w:rsidRDefault="00800369" w:rsidP="00800369">
      <w:pPr>
        <w:pStyle w:val="NormalWeb"/>
        <w:shd w:val="clear" w:color="auto" w:fill="FFFFFF"/>
        <w:spacing w:before="0" w:beforeAutospacing="0" w:after="120" w:afterAutospacing="0" w:line="360" w:lineRule="auto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71C5EA3D" wp14:editId="50B8229E">
            <wp:extent cx="3240000" cy="2489452"/>
            <wp:effectExtent l="0" t="0" r="0" b="635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894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0369" w:rsidRDefault="00800369" w:rsidP="00800369">
      <w:pPr>
        <w:pStyle w:val="NormalWeb"/>
        <w:shd w:val="clear" w:color="auto" w:fill="FFFFFF"/>
        <w:spacing w:before="0" w:beforeAutospacing="0" w:after="120" w:afterAutospacing="0" w:line="360" w:lineRule="auto"/>
        <w:jc w:val="both"/>
        <w:rPr>
          <w:i/>
          <w:lang w:val="en-US"/>
        </w:rPr>
      </w:pPr>
      <w:r w:rsidRPr="00B44F38">
        <w:rPr>
          <w:b/>
          <w:i/>
          <w:lang w:val="en-US"/>
        </w:rPr>
        <w:t xml:space="preserve">Figure </w:t>
      </w:r>
      <w:r>
        <w:rPr>
          <w:b/>
          <w:i/>
          <w:lang w:val="en-US"/>
        </w:rPr>
        <w:t>8</w:t>
      </w:r>
      <w:r w:rsidRPr="00B44F38">
        <w:rPr>
          <w:i/>
          <w:lang w:val="en-US"/>
        </w:rPr>
        <w:t>. (a) Macroscopic, and (b) detailed view of the AA2024 samples after 7 days of immersion in naturally aerated 50 mM NaCl solutions with different TA concentrations.</w:t>
      </w: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 w:rsidP="00800369">
      <w:pPr>
        <w:pStyle w:val="NormalWeb"/>
        <w:shd w:val="clear" w:color="auto" w:fill="FFFFFF"/>
        <w:spacing w:before="0" w:beforeAutospacing="0" w:after="120" w:afterAutospacing="0" w:line="360" w:lineRule="auto"/>
        <w:jc w:val="both"/>
        <w:rPr>
          <w:szCs w:val="26"/>
          <w:lang w:val="en-US"/>
        </w:rPr>
      </w:pPr>
      <w:r>
        <w:rPr>
          <w:noProof/>
          <w:szCs w:val="26"/>
        </w:rPr>
        <w:lastRenderedPageBreak/>
        <w:drawing>
          <wp:inline distT="0" distB="0" distL="0" distR="0" wp14:anchorId="089D4449" wp14:editId="145152D4">
            <wp:extent cx="5401310" cy="5962650"/>
            <wp:effectExtent l="0" t="0" r="889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5962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0369" w:rsidRPr="00B44F38" w:rsidRDefault="00800369" w:rsidP="00800369">
      <w:pPr>
        <w:pStyle w:val="NormalWeb"/>
        <w:shd w:val="clear" w:color="auto" w:fill="FFFFFF"/>
        <w:spacing w:before="0" w:beforeAutospacing="0" w:after="120" w:afterAutospacing="0" w:line="360" w:lineRule="auto"/>
        <w:jc w:val="both"/>
        <w:rPr>
          <w:i/>
          <w:lang w:val="en-US"/>
        </w:rPr>
      </w:pPr>
      <w:r w:rsidRPr="00B44F38">
        <w:rPr>
          <w:b/>
          <w:i/>
          <w:lang w:val="en-US"/>
        </w:rPr>
        <w:t xml:space="preserve">Figure </w:t>
      </w:r>
      <w:r>
        <w:rPr>
          <w:b/>
          <w:i/>
          <w:lang w:val="en-US"/>
        </w:rPr>
        <w:t>9</w:t>
      </w:r>
      <w:r w:rsidRPr="00B44F38">
        <w:rPr>
          <w:i/>
          <w:lang w:val="en-US"/>
        </w:rPr>
        <w:t>. Scanning electron micrographs of the AA2024 samples after 7 days of immersion in naturally aerated 50 mM N</w:t>
      </w:r>
      <w:r>
        <w:rPr>
          <w:i/>
          <w:lang w:val="en-US"/>
        </w:rPr>
        <w:t>aCl solutions: (</w:t>
      </w:r>
      <w:proofErr w:type="spellStart"/>
      <w:r>
        <w:rPr>
          <w:i/>
          <w:lang w:val="en-US"/>
        </w:rPr>
        <w:t>a,b</w:t>
      </w:r>
      <w:proofErr w:type="spellEnd"/>
      <w:r>
        <w:rPr>
          <w:i/>
          <w:lang w:val="en-US"/>
        </w:rPr>
        <w:t>) blank; (c-e</w:t>
      </w:r>
      <w:r w:rsidRPr="00B44F38">
        <w:rPr>
          <w:i/>
          <w:lang w:val="en-US"/>
        </w:rPr>
        <w:t xml:space="preserve">) </w:t>
      </w:r>
      <w:r>
        <w:rPr>
          <w:i/>
          <w:lang w:val="en-US"/>
        </w:rPr>
        <w:t>0.</w:t>
      </w:r>
      <w:r w:rsidRPr="00B44F38">
        <w:rPr>
          <w:i/>
          <w:lang w:val="en-US"/>
        </w:rPr>
        <w:t>1</w:t>
      </w:r>
      <w:r>
        <w:rPr>
          <w:i/>
          <w:lang w:val="en-US"/>
        </w:rPr>
        <w:t xml:space="preserve"> mM; (f-h) 1 mM; and </w:t>
      </w:r>
      <w:r w:rsidRPr="00B44F38">
        <w:rPr>
          <w:i/>
          <w:lang w:val="en-US"/>
        </w:rPr>
        <w:t>1</w:t>
      </w:r>
      <w:r>
        <w:rPr>
          <w:i/>
          <w:lang w:val="en-US"/>
        </w:rPr>
        <w:t>0 mM (</w:t>
      </w:r>
      <w:proofErr w:type="spellStart"/>
      <w:r>
        <w:rPr>
          <w:i/>
          <w:lang w:val="en-US"/>
        </w:rPr>
        <w:t>i</w:t>
      </w:r>
      <w:proofErr w:type="spellEnd"/>
      <w:r>
        <w:rPr>
          <w:i/>
          <w:lang w:val="en-US"/>
        </w:rPr>
        <w:t>-k</w:t>
      </w:r>
      <w:r w:rsidRPr="00B44F38">
        <w:rPr>
          <w:i/>
          <w:lang w:val="en-US"/>
        </w:rPr>
        <w:t>) TA solutions.</w:t>
      </w: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Pr="00B44F38" w:rsidRDefault="00800369" w:rsidP="00800369">
      <w:pPr>
        <w:pStyle w:val="NormalWeb"/>
        <w:shd w:val="clear" w:color="auto" w:fill="FFFFFF"/>
        <w:spacing w:before="0" w:beforeAutospacing="0" w:after="0" w:afterAutospacing="0" w:line="360" w:lineRule="auto"/>
        <w:jc w:val="both"/>
        <w:rPr>
          <w:lang w:val="en-US"/>
        </w:rPr>
      </w:pPr>
      <w:r w:rsidRPr="00B44F38">
        <w:rPr>
          <w:noProof/>
        </w:rPr>
        <w:lastRenderedPageBreak/>
        <w:drawing>
          <wp:inline distT="0" distB="0" distL="0" distR="0" wp14:anchorId="65F3EE69" wp14:editId="5A0E0DEE">
            <wp:extent cx="5400000" cy="2052410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052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0369" w:rsidRPr="005B36B0" w:rsidRDefault="00800369" w:rsidP="00800369">
      <w:pPr>
        <w:pStyle w:val="NormalWeb"/>
        <w:shd w:val="clear" w:color="auto" w:fill="FFFFFF"/>
        <w:spacing w:before="0" w:beforeAutospacing="0" w:after="120" w:afterAutospacing="0" w:line="360" w:lineRule="auto"/>
        <w:jc w:val="both"/>
        <w:rPr>
          <w:i/>
          <w:lang w:val="en-US"/>
        </w:rPr>
      </w:pPr>
      <w:r w:rsidRPr="00B44F38">
        <w:rPr>
          <w:b/>
          <w:i/>
          <w:lang w:val="en-US"/>
        </w:rPr>
        <w:t xml:space="preserve">Figure </w:t>
      </w:r>
      <w:r>
        <w:rPr>
          <w:b/>
          <w:i/>
          <w:lang w:val="en-US"/>
        </w:rPr>
        <w:t>10</w:t>
      </w:r>
      <w:r w:rsidRPr="00B44F38">
        <w:rPr>
          <w:i/>
          <w:lang w:val="en-US"/>
        </w:rPr>
        <w:t>. (a)</w:t>
      </w:r>
      <w:r>
        <w:rPr>
          <w:i/>
          <w:lang w:val="en-US"/>
        </w:rPr>
        <w:t xml:space="preserve"> </w:t>
      </w:r>
      <w:r w:rsidRPr="00B44F38">
        <w:rPr>
          <w:i/>
          <w:lang w:val="en-US"/>
        </w:rPr>
        <w:t>Raman analysis and (b) water contact angle of the AA2024 samples after 7 days of immersion in naturally aerated 50 mM NaCl (blank) and TA-based solutions.</w:t>
      </w: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Pr="00B44F38" w:rsidRDefault="00800369" w:rsidP="00800369">
      <w:pPr>
        <w:pStyle w:val="NormalWeb"/>
        <w:spacing w:before="0" w:beforeAutospacing="0" w:after="120" w:afterAutospacing="0" w:line="360" w:lineRule="auto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DCA24BC" wp14:editId="7EF02080">
            <wp:extent cx="4680000" cy="2647643"/>
            <wp:effectExtent l="0" t="0" r="6350" b="63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6476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0369" w:rsidRPr="00B44F38" w:rsidRDefault="00800369" w:rsidP="00800369">
      <w:pPr>
        <w:pStyle w:val="NormalWeb"/>
        <w:shd w:val="clear" w:color="auto" w:fill="FFFFFF"/>
        <w:spacing w:before="0" w:beforeAutospacing="0" w:after="120" w:afterAutospacing="0" w:line="360" w:lineRule="auto"/>
        <w:jc w:val="both"/>
        <w:rPr>
          <w:lang w:val="en-US"/>
        </w:rPr>
      </w:pPr>
      <w:r w:rsidRPr="00B44F38">
        <w:rPr>
          <w:b/>
          <w:i/>
          <w:lang w:val="en-US"/>
        </w:rPr>
        <w:t>Figure 1</w:t>
      </w:r>
      <w:r>
        <w:rPr>
          <w:b/>
          <w:i/>
          <w:lang w:val="en-US"/>
        </w:rPr>
        <w:t>1</w:t>
      </w:r>
      <w:r w:rsidRPr="00B44F38">
        <w:rPr>
          <w:i/>
          <w:lang w:val="en-US"/>
        </w:rPr>
        <w:t>. 3D topographical maps of AA2024 surface after 7 days of immersion</w:t>
      </w:r>
      <w:r w:rsidRPr="00B44F38">
        <w:rPr>
          <w:lang w:val="en-US"/>
        </w:rPr>
        <w:t xml:space="preserve"> </w:t>
      </w:r>
      <w:r w:rsidRPr="00B44F38">
        <w:rPr>
          <w:i/>
          <w:lang w:val="en-US"/>
        </w:rPr>
        <w:t>in naturally aerated 50 mM NaCl (blank) and TA-based solutions.</w:t>
      </w: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Default="00800369">
      <w:pPr>
        <w:rPr>
          <w:lang w:val="en-US"/>
        </w:rPr>
      </w:pPr>
    </w:p>
    <w:p w:rsidR="00800369" w:rsidRPr="00B44F38" w:rsidRDefault="00800369" w:rsidP="00800369">
      <w:pPr>
        <w:pStyle w:val="NormalWeb"/>
        <w:shd w:val="clear" w:color="auto" w:fill="FFFFFF"/>
        <w:spacing w:before="0" w:beforeAutospacing="0" w:after="0" w:afterAutospacing="0" w:line="360" w:lineRule="auto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12E7256" wp14:editId="0DE50717">
            <wp:extent cx="4319482" cy="5164666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5"/>
                    <a:stretch/>
                  </pic:blipFill>
                  <pic:spPr bwMode="auto">
                    <a:xfrm>
                      <a:off x="0" y="0"/>
                      <a:ext cx="4320000" cy="516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0369" w:rsidRPr="00B44F38" w:rsidRDefault="00800369" w:rsidP="00800369">
      <w:pPr>
        <w:pStyle w:val="NormalWeb"/>
        <w:shd w:val="clear" w:color="auto" w:fill="FFFFFF"/>
        <w:spacing w:before="0" w:beforeAutospacing="0" w:after="120" w:afterAutospacing="0" w:line="360" w:lineRule="auto"/>
        <w:jc w:val="both"/>
        <w:rPr>
          <w:i/>
          <w:lang w:val="en-US"/>
        </w:rPr>
      </w:pPr>
      <w:r w:rsidRPr="00B44F38">
        <w:rPr>
          <w:b/>
          <w:i/>
          <w:lang w:val="en-US"/>
        </w:rPr>
        <w:t>Figure 1</w:t>
      </w:r>
      <w:r>
        <w:rPr>
          <w:b/>
          <w:i/>
          <w:lang w:val="en-US"/>
        </w:rPr>
        <w:t>2</w:t>
      </w:r>
      <w:r w:rsidRPr="00B44F38">
        <w:rPr>
          <w:i/>
          <w:lang w:val="en-US"/>
        </w:rPr>
        <w:t>. Schematic illustration for inhibition mechanism of tannic acid for the AA2024 alloy.</w:t>
      </w:r>
    </w:p>
    <w:p w:rsidR="00800369" w:rsidRPr="00800369" w:rsidRDefault="00800369">
      <w:pPr>
        <w:rPr>
          <w:lang w:val="en-US"/>
        </w:rPr>
      </w:pPr>
      <w:bookmarkStart w:id="0" w:name="_GoBack"/>
      <w:bookmarkEnd w:id="0"/>
    </w:p>
    <w:sectPr w:rsidR="00800369" w:rsidRPr="00800369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0369"/>
    <w:rsid w:val="00800369"/>
    <w:rsid w:val="00EE42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33E72ED7-B27E-472E-8D86-F46891A5F4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link w:val="NormalWebCar"/>
    <w:uiPriority w:val="99"/>
    <w:unhideWhenUsed/>
    <w:rsid w:val="008003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NormalWebCar">
    <w:name w:val="Normal (Web) Car"/>
    <w:basedOn w:val="Fuentedeprrafopredeter"/>
    <w:link w:val="NormalWeb"/>
    <w:uiPriority w:val="99"/>
    <w:rsid w:val="00800369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800369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12</Pages>
  <Words>383</Words>
  <Characters>2111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Ruben del Olmo Martinez</dc:creator>
  <cp:keywords/>
  <dc:description/>
  <cp:lastModifiedBy>Ruben del Olmo Martinez</cp:lastModifiedBy>
  <cp:revision>1</cp:revision>
  <dcterms:created xsi:type="dcterms:W3CDTF">2025-03-03T14:26:00Z</dcterms:created>
  <dcterms:modified xsi:type="dcterms:W3CDTF">2025-03-03T14:28:00Z</dcterms:modified>
</cp:coreProperties>
</file>